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1B" w:rsidRPr="004C3344" w:rsidRDefault="002D231B" w:rsidP="002D231B">
      <w:pPr>
        <w:adjustRightInd w:val="0"/>
        <w:snapToGrid w:val="0"/>
        <w:spacing w:line="360" w:lineRule="atLeast"/>
        <w:ind w:left="1440" w:hanging="1440"/>
        <w:jc w:val="center"/>
        <w:rPr>
          <w:rFonts w:ascii="華康仿宋體W6(P)" w:eastAsia="華康仿宋體W6(P)" w:hAnsi="新細明體"/>
          <w:b/>
          <w:bCs/>
          <w:szCs w:val="24"/>
        </w:rPr>
      </w:pPr>
      <w:r w:rsidRPr="004C3344">
        <w:rPr>
          <w:rFonts w:ascii="華康仿宋體W6(P)" w:eastAsia="華康仿宋體W6(P)" w:hAnsi="新細明體" w:hint="eastAsia"/>
          <w:b/>
          <w:bCs/>
          <w:szCs w:val="24"/>
        </w:rPr>
        <w:t>提   案   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28"/>
        <w:gridCol w:w="1620"/>
        <w:gridCol w:w="3048"/>
      </w:tblGrid>
      <w:tr w:rsidR="002D231B" w:rsidRPr="004C3344" w:rsidTr="00195934">
        <w:trPr>
          <w:cantSplit/>
          <w:trHeight w:val="635"/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會議</w:t>
            </w:r>
            <w:r w:rsidRPr="004C3344">
              <w:rPr>
                <w:rFonts w:ascii="華康仿宋體W6(P)" w:eastAsia="華康仿宋體W6(P)" w:hAnsi="新細明體" w:hint="eastAsia"/>
                <w:szCs w:val="24"/>
              </w:rPr>
              <w:br/>
              <w:t>名稱</w:t>
            </w:r>
          </w:p>
        </w:tc>
        <w:tc>
          <w:tcPr>
            <w:tcW w:w="8596" w:type="dxa"/>
            <w:gridSpan w:val="3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104學年度第1次</w:t>
            </w:r>
            <w:r w:rsidRPr="004C3344">
              <w:rPr>
                <w:rFonts w:ascii="華康仿宋體W6(P)" w:eastAsia="華康仿宋體W6(P)" w:hAnsi="新細明體" w:hint="eastAsia"/>
                <w:szCs w:val="24"/>
              </w:rPr>
              <w:t>行政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會議</w:t>
            </w:r>
          </w:p>
        </w:tc>
      </w:tr>
      <w:tr w:rsidR="002D231B" w:rsidRPr="004C3344" w:rsidTr="00195934">
        <w:trPr>
          <w:cantSplit/>
          <w:trHeight w:val="635"/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編 號</w:t>
            </w:r>
          </w:p>
        </w:tc>
        <w:tc>
          <w:tcPr>
            <w:tcW w:w="392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04</w:t>
            </w:r>
          </w:p>
        </w:tc>
        <w:tc>
          <w:tcPr>
            <w:tcW w:w="1620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center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提案單位</w:t>
            </w:r>
          </w:p>
        </w:tc>
        <w:tc>
          <w:tcPr>
            <w:tcW w:w="304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ind w:firstLineChars="100" w:firstLine="240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總務處</w:t>
            </w:r>
          </w:p>
        </w:tc>
      </w:tr>
      <w:tr w:rsidR="002D231B" w:rsidRPr="004C3344" w:rsidTr="00195934">
        <w:trPr>
          <w:trHeight w:val="618"/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案由</w:t>
            </w:r>
          </w:p>
        </w:tc>
        <w:tc>
          <w:tcPr>
            <w:tcW w:w="8596" w:type="dxa"/>
            <w:gridSpan w:val="3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cs="細明體" w:hint="eastAsia"/>
                <w:szCs w:val="24"/>
              </w:rPr>
              <w:t>修訂</w:t>
            </w:r>
            <w:r w:rsidRPr="00C172CE">
              <w:rPr>
                <w:rFonts w:ascii="華康仿宋體W6(P)" w:eastAsia="華康仿宋體W6(P)" w:hAnsi="標楷體" w:hint="eastAsia"/>
                <w:b/>
                <w:bCs/>
                <w:color w:val="0000FF"/>
                <w:szCs w:val="24"/>
                <w:u w:val="single"/>
              </w:rPr>
              <w:t>法鼓</w:t>
            </w:r>
            <w:r w:rsidRPr="00C172CE">
              <w:rPr>
                <w:rFonts w:ascii="華康仿宋體W6(P)" w:eastAsia="華康仿宋體W6(P)" w:hint="eastAsia"/>
                <w:b/>
                <w:color w:val="0000FF"/>
                <w:szCs w:val="24"/>
                <w:u w:val="single"/>
                <w:lang w:val="zh-TW"/>
              </w:rPr>
              <w:t>文理</w:t>
            </w:r>
            <w:r w:rsidRPr="00C172CE">
              <w:rPr>
                <w:rFonts w:ascii="華康仿宋體W6(P)" w:eastAsia="華康仿宋體W6(P)" w:hAnsi="標楷體" w:hint="eastAsia"/>
                <w:b/>
                <w:bCs/>
                <w:color w:val="0000FF"/>
                <w:szCs w:val="24"/>
                <w:u w:val="single"/>
              </w:rPr>
              <w:t>學院</w:t>
            </w:r>
            <w:bookmarkStart w:id="0" w:name="_GoBack"/>
            <w:r w:rsidRPr="004C3344">
              <w:rPr>
                <w:rFonts w:ascii="華康仿宋體W6(P)" w:eastAsia="華康仿宋體W6(P)" w:hAnsi="新細明體" w:hint="eastAsia"/>
                <w:szCs w:val="24"/>
              </w:rPr>
              <w:t>環保節能管理措施</w:t>
            </w:r>
            <w:bookmarkEnd w:id="0"/>
            <w:r w:rsidRPr="004C3344">
              <w:rPr>
                <w:rFonts w:ascii="華康仿宋體W6(P)" w:eastAsia="華康仿宋體W6(P)" w:hAnsi="新細明體" w:cs="細明體" w:hint="eastAsia"/>
                <w:szCs w:val="24"/>
              </w:rPr>
              <w:t>，陳請核示。</w:t>
            </w:r>
          </w:p>
        </w:tc>
      </w:tr>
      <w:tr w:rsidR="002D231B" w:rsidRPr="004C3344" w:rsidTr="00195934">
        <w:trPr>
          <w:trHeight w:val="551"/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說明</w:t>
            </w:r>
          </w:p>
        </w:tc>
        <w:tc>
          <w:tcPr>
            <w:tcW w:w="8596" w:type="dxa"/>
            <w:gridSpan w:val="3"/>
          </w:tcPr>
          <w:p w:rsidR="002D231B" w:rsidRDefault="002D231B" w:rsidP="00195934">
            <w:pPr>
              <w:pStyle w:val="a5"/>
              <w:snapToGrid w:val="0"/>
              <w:spacing w:line="360" w:lineRule="atLeast"/>
              <w:rPr>
                <w:rFonts w:ascii="華康仿宋體W6(P)" w:eastAsia="華康仿宋體W6(P)" w:hAnsi="華康標楷體(P)" w:cs="華康標楷體(P)"/>
                <w:kern w:val="2"/>
                <w:sz w:val="24"/>
                <w:szCs w:val="24"/>
              </w:rPr>
            </w:pPr>
            <w:r>
              <w:rPr>
                <w:rFonts w:ascii="華康仿宋體W6(P)" w:eastAsia="華康仿宋體W6(P)" w:hAnsi="華康標楷體(P)" w:cs="華康標楷體(P)" w:hint="eastAsia"/>
                <w:kern w:val="2"/>
                <w:sz w:val="24"/>
                <w:szCs w:val="24"/>
              </w:rPr>
              <w:t>一、</w:t>
            </w:r>
            <w:r w:rsidRPr="004C3344">
              <w:rPr>
                <w:rFonts w:ascii="華康仿宋體W6(P)" w:eastAsia="華康仿宋體W6(P)" w:hAnsi="華康標楷體(P)" w:cs="華康標楷體(P)" w:hint="eastAsia"/>
                <w:kern w:val="2"/>
                <w:sz w:val="24"/>
                <w:szCs w:val="24"/>
              </w:rPr>
              <w:t>為修改學校與相關單位名稱，擬修改相關要點。</w:t>
            </w:r>
          </w:p>
          <w:p w:rsidR="002D231B" w:rsidRPr="004C3344" w:rsidRDefault="002D231B" w:rsidP="00195934">
            <w:pPr>
              <w:pStyle w:val="a5"/>
              <w:snapToGrid w:val="0"/>
              <w:spacing w:line="360" w:lineRule="atLeast"/>
              <w:rPr>
                <w:rFonts w:ascii="華康仿宋體W6(P)" w:eastAsia="華康仿宋體W6(P)" w:hAnsi="華康標楷體(P)" w:cs="華康標楷體(P)"/>
                <w:kern w:val="2"/>
                <w:sz w:val="24"/>
                <w:szCs w:val="24"/>
              </w:rPr>
            </w:pPr>
            <w:r>
              <w:rPr>
                <w:rFonts w:ascii="華康仿宋體W6(P)" w:eastAsia="華康仿宋體W6(P)" w:hAnsi="華康標楷體(P)" w:cs="華康標楷體(P)" w:hint="eastAsia"/>
                <w:kern w:val="2"/>
                <w:sz w:val="24"/>
                <w:szCs w:val="24"/>
              </w:rPr>
              <w:t>二、</w:t>
            </w:r>
            <w:proofErr w:type="gramStart"/>
            <w:r>
              <w:rPr>
                <w:rFonts w:ascii="華康仿宋體W6(P)" w:eastAsia="華康仿宋體W6(P)" w:hAnsi="華康標楷體(P)" w:cs="華康標楷體(P)" w:hint="eastAsia"/>
                <w:kern w:val="2"/>
                <w:sz w:val="24"/>
                <w:szCs w:val="24"/>
              </w:rPr>
              <w:t>本案業經學</w:t>
            </w:r>
            <w:proofErr w:type="gramEnd"/>
            <w:r>
              <w:rPr>
                <w:rFonts w:ascii="華康仿宋體W6(P)" w:eastAsia="華康仿宋體W6(P)" w:hAnsi="華康標楷體(P)" w:cs="華康標楷體(P)" w:hint="eastAsia"/>
                <w:kern w:val="2"/>
                <w:sz w:val="24"/>
                <w:szCs w:val="24"/>
              </w:rPr>
              <w:t>總會議審議。</w:t>
            </w:r>
          </w:p>
        </w:tc>
      </w:tr>
      <w:tr w:rsidR="002D231B" w:rsidRPr="004C3344" w:rsidTr="00195934">
        <w:trPr>
          <w:trHeight w:val="628"/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辦法</w:t>
            </w:r>
          </w:p>
        </w:tc>
        <w:tc>
          <w:tcPr>
            <w:tcW w:w="8596" w:type="dxa"/>
            <w:gridSpan w:val="3"/>
            <w:vAlign w:val="center"/>
          </w:tcPr>
          <w:p w:rsidR="002D231B" w:rsidRPr="0081615D" w:rsidRDefault="002D231B" w:rsidP="00195934">
            <w:pPr>
              <w:pStyle w:val="a5"/>
              <w:snapToGrid w:val="0"/>
              <w:spacing w:line="300" w:lineRule="exact"/>
              <w:ind w:left="353" w:hanging="461"/>
              <w:rPr>
                <w:rFonts w:ascii="華康仿宋體W6(P)" w:eastAsia="華康仿宋體W6(P)"/>
                <w:color w:val="000000"/>
              </w:rPr>
            </w:pPr>
            <w:r w:rsidRPr="0081615D">
              <w:rPr>
                <w:rFonts w:ascii="華康仿宋體W6(P)" w:eastAsia="華康仿宋體W6(P)" w:hAnsi="華康仿宋體W6(P)" w:cs="華康仿宋體W6(P)" w:hint="eastAsia"/>
                <w:color w:val="000000"/>
                <w:sz w:val="24"/>
                <w:szCs w:val="24"/>
              </w:rPr>
              <w:t xml:space="preserve"> </w:t>
            </w:r>
            <w:r w:rsidRPr="0081615D">
              <w:rPr>
                <w:rFonts w:ascii="華康仿宋體W6(P)" w:eastAsia="華康仿宋體W6(P)" w:hAnsi="華康仿宋體W6(P)" w:cs="華康標楷體(P)" w:hint="eastAsia"/>
                <w:color w:val="000000"/>
                <w:sz w:val="24"/>
                <w:szCs w:val="24"/>
              </w:rPr>
              <w:t>本案討論通過後</w:t>
            </w:r>
            <w:r>
              <w:rPr>
                <w:rFonts w:ascii="華康仿宋體W6(P)" w:eastAsia="華康仿宋體W6(P)" w:hAnsi="華康仿宋體W6(P)" w:cs="華康標楷體(P)" w:hint="eastAsia"/>
                <w:color w:val="000000"/>
                <w:sz w:val="24"/>
                <w:szCs w:val="24"/>
              </w:rPr>
              <w:t>，陳請校長核定後公布</w:t>
            </w:r>
            <w:r w:rsidRPr="0081615D">
              <w:rPr>
                <w:rFonts w:ascii="華康仿宋體W6(P)" w:eastAsia="華康仿宋體W6(P)" w:hAnsi="華康仿宋體W6(P)" w:cs="華康標楷體(P)" w:hint="eastAsia"/>
                <w:color w:val="000000"/>
                <w:sz w:val="24"/>
                <w:szCs w:val="24"/>
              </w:rPr>
              <w:t>實施</w:t>
            </w:r>
            <w:r>
              <w:rPr>
                <w:rFonts w:ascii="華康仿宋體W6(P)" w:eastAsia="華康仿宋體W6(P)" w:hAnsi="華康仿宋體W6(P)" w:cs="華康標楷體(P)" w:hint="eastAsia"/>
                <w:color w:val="000000"/>
                <w:sz w:val="24"/>
                <w:szCs w:val="24"/>
              </w:rPr>
              <w:t>。</w:t>
            </w:r>
          </w:p>
        </w:tc>
      </w:tr>
      <w:tr w:rsidR="002D231B" w:rsidRPr="004C3344" w:rsidTr="00195934">
        <w:trPr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line="360" w:lineRule="atLeast"/>
              <w:jc w:val="distribute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附件</w:t>
            </w:r>
          </w:p>
        </w:tc>
        <w:tc>
          <w:tcPr>
            <w:tcW w:w="8596" w:type="dxa"/>
            <w:gridSpan w:val="3"/>
          </w:tcPr>
          <w:p w:rsidR="002D231B" w:rsidRPr="004C3344" w:rsidRDefault="002D231B" w:rsidP="00195934">
            <w:pPr>
              <w:snapToGrid w:val="0"/>
              <w:spacing w:line="360" w:lineRule="atLeast"/>
              <w:jc w:val="both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一、法鼓文理學院環保節能管理措施</w:t>
            </w:r>
            <w:r w:rsidRPr="004C3344">
              <w:rPr>
                <w:rFonts w:ascii="華康仿宋體W6(P)" w:eastAsia="華康仿宋體W6(P)" w:hAnsi="新細明體" w:cs="細明體" w:hint="eastAsia"/>
                <w:szCs w:val="24"/>
              </w:rPr>
              <w:t>修正條文對照表</w:t>
            </w:r>
          </w:p>
          <w:p w:rsidR="002D231B" w:rsidRPr="004C3344" w:rsidRDefault="002D231B" w:rsidP="00195934">
            <w:pPr>
              <w:snapToGrid w:val="0"/>
              <w:spacing w:line="360" w:lineRule="atLeast"/>
              <w:rPr>
                <w:rFonts w:ascii="華康仿宋體W6(P)" w:eastAsia="華康仿宋體W6(P)" w:hAnsi="新細明體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二、法鼓文理學院環保節能管理措施</w:t>
            </w:r>
          </w:p>
        </w:tc>
      </w:tr>
      <w:tr w:rsidR="002D231B" w:rsidRPr="004C3344" w:rsidTr="00195934">
        <w:trPr>
          <w:jc w:val="center"/>
        </w:trPr>
        <w:tc>
          <w:tcPr>
            <w:tcW w:w="1008" w:type="dxa"/>
            <w:vAlign w:val="center"/>
          </w:tcPr>
          <w:p w:rsidR="002D231B" w:rsidRPr="004C3344" w:rsidRDefault="002D231B" w:rsidP="00195934">
            <w:pPr>
              <w:snapToGrid w:val="0"/>
              <w:spacing w:before="120" w:after="120" w:line="240" w:lineRule="atLeast"/>
              <w:jc w:val="distribute"/>
              <w:rPr>
                <w:rFonts w:ascii="華康仿宋體W6(P)" w:eastAsia="華康仿宋體W6(P)" w:hAnsi="新細明體"/>
                <w:kern w:val="2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szCs w:val="24"/>
              </w:rPr>
              <w:t>決議</w:t>
            </w:r>
          </w:p>
        </w:tc>
        <w:tc>
          <w:tcPr>
            <w:tcW w:w="8596" w:type="dxa"/>
            <w:gridSpan w:val="3"/>
          </w:tcPr>
          <w:p w:rsidR="002D231B" w:rsidRPr="00C172CE" w:rsidRDefault="002D231B" w:rsidP="00195934">
            <w:pPr>
              <w:pStyle w:val="Web"/>
              <w:widowControl w:val="0"/>
              <w:snapToGrid w:val="0"/>
              <w:spacing w:before="120" w:after="120" w:line="240" w:lineRule="atLeast"/>
              <w:rPr>
                <w:rFonts w:ascii="華康仿宋體W6(P)" w:eastAsia="華康仿宋體W6(P)"/>
                <w:b/>
                <w:color w:val="0000FF"/>
                <w:kern w:val="2"/>
              </w:rPr>
            </w:pPr>
            <w:r w:rsidRPr="00C172CE">
              <w:rPr>
                <w:rFonts w:ascii="華康仿宋體W6(P)" w:eastAsia="華康仿宋體W6(P)" w:hint="eastAsia"/>
                <w:b/>
                <w:color w:val="0000FF"/>
                <w:kern w:val="2"/>
              </w:rPr>
              <w:t>一、法規名稱</w:t>
            </w:r>
            <w:proofErr w:type="gramStart"/>
            <w:r w:rsidRPr="00C172CE">
              <w:rPr>
                <w:rFonts w:ascii="華康仿宋體W6(P)" w:eastAsia="華康仿宋體W6(P)" w:hint="eastAsia"/>
                <w:b/>
                <w:color w:val="0000FF"/>
                <w:kern w:val="2"/>
              </w:rPr>
              <w:t>需加校名</w:t>
            </w:r>
            <w:proofErr w:type="gramEnd"/>
            <w:r w:rsidRPr="00C172CE">
              <w:rPr>
                <w:rFonts w:ascii="華康仿宋體W6(P)" w:eastAsia="華康仿宋體W6(P)" w:hint="eastAsia"/>
                <w:b/>
                <w:color w:val="0000FF"/>
                <w:kern w:val="2"/>
              </w:rPr>
              <w:t>。</w:t>
            </w:r>
          </w:p>
          <w:p w:rsidR="002D231B" w:rsidRPr="00C172CE" w:rsidRDefault="002D231B" w:rsidP="00195934">
            <w:pPr>
              <w:pStyle w:val="Web"/>
              <w:widowControl w:val="0"/>
              <w:snapToGrid w:val="0"/>
              <w:spacing w:before="120" w:after="120" w:line="240" w:lineRule="atLeast"/>
              <w:ind w:left="425" w:hangingChars="177" w:hanging="425"/>
              <w:rPr>
                <w:rFonts w:ascii="華康仿宋體W6(P)" w:eastAsia="華康仿宋體W6(P)"/>
                <w:b/>
                <w:color w:val="0000FF"/>
                <w:kern w:val="2"/>
              </w:rPr>
            </w:pPr>
            <w:r w:rsidRPr="00C172CE">
              <w:rPr>
                <w:rFonts w:ascii="華康仿宋體W6(P)" w:eastAsia="華康仿宋體W6(P)" w:hint="eastAsia"/>
                <w:b/>
                <w:color w:val="0000FF"/>
                <w:kern w:val="2"/>
              </w:rPr>
              <w:t>二、修訂為要點，最後一條需加：</w:t>
            </w:r>
            <w:r w:rsidRPr="00C172CE">
              <w:rPr>
                <w:rFonts w:ascii="華康仿宋體W6(P)" w:eastAsia="華康仿宋體W6(P)" w:hAnsi="華康標楷體(P)" w:cs="華康標楷體(P)" w:hint="eastAsia"/>
                <w:b/>
                <w:color w:val="0000FF"/>
                <w:kern w:val="2"/>
              </w:rPr>
              <w:t>本要點經行政會議通過，校長核定後公布實施，修訂時亦同。</w:t>
            </w:r>
          </w:p>
        </w:tc>
      </w:tr>
    </w:tbl>
    <w:p w:rsidR="002D231B" w:rsidRPr="004C3344" w:rsidRDefault="002D231B" w:rsidP="002D231B">
      <w:pPr>
        <w:snapToGrid w:val="0"/>
        <w:spacing w:line="360" w:lineRule="atLeast"/>
        <w:rPr>
          <w:rFonts w:ascii="華康仿宋體W6(P)" w:eastAsia="華康仿宋體W6(P)" w:hAnsi="新細明體"/>
          <w:szCs w:val="24"/>
        </w:rPr>
      </w:pPr>
    </w:p>
    <w:p w:rsidR="002D231B" w:rsidRPr="004C3344" w:rsidRDefault="002D231B" w:rsidP="002D231B">
      <w:pPr>
        <w:snapToGrid w:val="0"/>
        <w:spacing w:line="360" w:lineRule="atLeast"/>
        <w:rPr>
          <w:rFonts w:ascii="華康仿宋體W6(P)" w:eastAsia="華康仿宋體W6(P)" w:hAnsi="新細明體"/>
          <w:szCs w:val="24"/>
          <w:bdr w:val="single" w:sz="4" w:space="0" w:color="auto"/>
        </w:rPr>
      </w:pPr>
      <w:r w:rsidRPr="004C3344">
        <w:rPr>
          <w:rFonts w:ascii="華康仿宋體W6(P)" w:eastAsia="華康仿宋體W6(P)" w:hAnsi="新細明體" w:hint="eastAsia"/>
          <w:szCs w:val="24"/>
          <w:bdr w:val="single" w:sz="4" w:space="0" w:color="auto"/>
        </w:rPr>
        <w:t xml:space="preserve">附件一 </w:t>
      </w:r>
    </w:p>
    <w:p w:rsidR="002D231B" w:rsidRPr="004C3344" w:rsidRDefault="002D231B" w:rsidP="002D231B">
      <w:pPr>
        <w:snapToGrid w:val="0"/>
        <w:spacing w:line="360" w:lineRule="atLeast"/>
        <w:rPr>
          <w:rFonts w:ascii="華康仿宋體W6(P)" w:eastAsia="華康仿宋體W6(P)" w:hAnsi="新細明體"/>
          <w:szCs w:val="24"/>
          <w:bdr w:val="single" w:sz="4" w:space="0" w:color="auto"/>
        </w:rPr>
      </w:pPr>
    </w:p>
    <w:tbl>
      <w:tblPr>
        <w:tblW w:w="1007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2700"/>
      </w:tblGrid>
      <w:tr w:rsidR="002D231B" w:rsidRPr="004C3344" w:rsidTr="00195934">
        <w:tc>
          <w:tcPr>
            <w:tcW w:w="3686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修正條文</w:t>
            </w:r>
          </w:p>
        </w:tc>
        <w:tc>
          <w:tcPr>
            <w:tcW w:w="3685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現行條文</w:t>
            </w:r>
          </w:p>
        </w:tc>
        <w:tc>
          <w:tcPr>
            <w:tcW w:w="2700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說明</w:t>
            </w:r>
          </w:p>
        </w:tc>
      </w:tr>
      <w:tr w:rsidR="002D231B" w:rsidRPr="004C3344" w:rsidTr="00195934">
        <w:trPr>
          <w:cantSplit/>
          <w:trHeight w:val="2134"/>
        </w:trPr>
        <w:tc>
          <w:tcPr>
            <w:tcW w:w="3686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(三)</w:t>
            </w:r>
            <w:proofErr w:type="spellStart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電腦、事務機器、電話節能</w:t>
            </w:r>
            <w:proofErr w:type="spellEnd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：</w:t>
            </w:r>
          </w:p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6. 使用電話請盡量『長話短說』。撥打外線時，請先利用網路電話；中華電信手機用戶可至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總務處營</w:t>
            </w:r>
            <w:proofErr w:type="gramStart"/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繕</w:t>
            </w:r>
            <w:proofErr w:type="gramEnd"/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組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申請加入法鼓山群組。</w:t>
            </w:r>
          </w:p>
        </w:tc>
        <w:tc>
          <w:tcPr>
            <w:tcW w:w="3685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(三)</w:t>
            </w:r>
            <w:proofErr w:type="spellStart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電腦、事務機器、電話節能</w:t>
            </w:r>
            <w:proofErr w:type="spellEnd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：</w:t>
            </w:r>
          </w:p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6. 使用電話請盡量『長話短說』。撥打外線時，請先利用網路電話；中華電信手機用戶可至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總務組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申請加入法鼓山群組。</w:t>
            </w:r>
          </w:p>
        </w:tc>
        <w:tc>
          <w:tcPr>
            <w:tcW w:w="2700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更改總務組。</w:t>
            </w:r>
          </w:p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</w:p>
        </w:tc>
      </w:tr>
      <w:tr w:rsidR="002D231B" w:rsidRPr="004C3344" w:rsidTr="00195934">
        <w:trPr>
          <w:cantSplit/>
          <w:trHeight w:val="2258"/>
        </w:trPr>
        <w:tc>
          <w:tcPr>
            <w:tcW w:w="3686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(四)</w:t>
            </w:r>
            <w:proofErr w:type="spellStart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電燈、用水節能</w:t>
            </w:r>
            <w:proofErr w:type="spellEnd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:</w:t>
            </w:r>
          </w:p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2. 清潔用水時，請將水量調至適中；並利用容器盛水使用。請隨手關閉水龍頭，如有漏水情事，請儘速通知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總務處營</w:t>
            </w:r>
            <w:proofErr w:type="gramStart"/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繕</w:t>
            </w:r>
            <w:proofErr w:type="gramEnd"/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組</w:t>
            </w:r>
            <w:r w:rsidRPr="003E07DF">
              <w:rPr>
                <w:rFonts w:ascii="華康仿宋體W6(P)" w:eastAsia="華康仿宋體W6(P)" w:hAnsi="新細明體" w:hint="eastAsia"/>
                <w:szCs w:val="24"/>
              </w:rPr>
              <w:t>維修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。</w:t>
            </w:r>
          </w:p>
        </w:tc>
        <w:tc>
          <w:tcPr>
            <w:tcW w:w="3685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(四)</w:t>
            </w:r>
            <w:proofErr w:type="spellStart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電燈、用水節能</w:t>
            </w:r>
            <w:proofErr w:type="spellEnd"/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:</w:t>
            </w:r>
          </w:p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2. 清潔用水時，請將水量調至適中；並利用容器盛水使用。請隨手關閉水龍頭，如有漏水情事，請儘速通知</w:t>
            </w:r>
            <w:r w:rsidRPr="003E07DF">
              <w:rPr>
                <w:rFonts w:ascii="華康仿宋體W6(P)" w:eastAsia="華康仿宋體W6(P)" w:hAnsi="新細明體" w:hint="eastAsia"/>
                <w:color w:val="000000"/>
                <w:szCs w:val="24"/>
                <w:u w:val="single"/>
              </w:rPr>
              <w:t>總務組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維修。</w:t>
            </w:r>
          </w:p>
        </w:tc>
        <w:tc>
          <w:tcPr>
            <w:tcW w:w="2700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更改總務組。</w:t>
            </w:r>
          </w:p>
        </w:tc>
      </w:tr>
      <w:tr w:rsidR="002D231B" w:rsidRPr="004C3344" w:rsidTr="00195934">
        <w:trPr>
          <w:cantSplit/>
          <w:trHeight w:val="1686"/>
        </w:trPr>
        <w:tc>
          <w:tcPr>
            <w:tcW w:w="3686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4. 垃圾請務必分成一般垃圾、資源回收與廚餘三大類。請清洗完畢後，自行拿至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指定地點之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資源回收區分類回收。</w:t>
            </w:r>
          </w:p>
        </w:tc>
        <w:tc>
          <w:tcPr>
            <w:tcW w:w="3685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4. 垃圾請務必分成一般垃圾、資源回收與廚餘三大類。請清洗完畢後，自行拿至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教職員生宿舍地下一樓</w:t>
            </w:r>
            <w:r w:rsidRPr="004C3344">
              <w:rPr>
                <w:rFonts w:ascii="華康仿宋體W6(P)" w:eastAsia="華康仿宋體W6(P)" w:hAnsi="新細明體" w:hint="eastAsia"/>
                <w:szCs w:val="24"/>
              </w:rPr>
              <w:t>資源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回收區分類回收。</w:t>
            </w:r>
          </w:p>
        </w:tc>
        <w:tc>
          <w:tcPr>
            <w:tcW w:w="2700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修改資源回收區地點</w:t>
            </w:r>
          </w:p>
        </w:tc>
      </w:tr>
      <w:tr w:rsidR="002D231B" w:rsidRPr="004C3344" w:rsidTr="00195934">
        <w:trPr>
          <w:cantSplit/>
          <w:trHeight w:val="1916"/>
        </w:trPr>
        <w:tc>
          <w:tcPr>
            <w:tcW w:w="3686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lastRenderedPageBreak/>
              <w:t>6. 過期藥品請放置至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指定地點之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資源回收區『藥品回收箱』，請勿丟入馬桶或一般垃圾中，以免造成環境與水源汙染。</w:t>
            </w:r>
          </w:p>
        </w:tc>
        <w:tc>
          <w:tcPr>
            <w:tcW w:w="3685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6. 過期藥品請放置至</w:t>
            </w:r>
            <w:r w:rsidRPr="003E07DF">
              <w:rPr>
                <w:rFonts w:ascii="華康仿宋體W6(P)" w:eastAsia="華康仿宋體W6(P)" w:hAnsi="新細明體" w:hint="eastAsia"/>
                <w:szCs w:val="24"/>
                <w:u w:val="single"/>
              </w:rPr>
              <w:t>教職員生宿舍地下一樓</w:t>
            </w: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資源回收區『藥品回收箱』，請勿丟入馬桶或一般垃圾中，以免造成環境與水源汙染。</w:t>
            </w:r>
          </w:p>
        </w:tc>
        <w:tc>
          <w:tcPr>
            <w:tcW w:w="2700" w:type="dxa"/>
          </w:tcPr>
          <w:p w:rsidR="002D231B" w:rsidRPr="004C3344" w:rsidRDefault="002D231B" w:rsidP="00195934">
            <w:pPr>
              <w:pStyle w:val="a3"/>
              <w:snapToGrid w:val="0"/>
              <w:spacing w:after="0" w:line="360" w:lineRule="atLeast"/>
              <w:ind w:left="0"/>
              <w:rPr>
                <w:rFonts w:ascii="華康仿宋體W6(P)" w:eastAsia="華康仿宋體W6(P)" w:hAnsi="新細明體"/>
                <w:color w:val="000000"/>
                <w:szCs w:val="24"/>
              </w:rPr>
            </w:pPr>
            <w:r w:rsidRPr="004C3344">
              <w:rPr>
                <w:rFonts w:ascii="華康仿宋體W6(P)" w:eastAsia="華康仿宋體W6(P)" w:hAnsi="新細明體" w:hint="eastAsia"/>
                <w:color w:val="000000"/>
                <w:szCs w:val="24"/>
              </w:rPr>
              <w:t>修改資源回收區地點</w:t>
            </w:r>
          </w:p>
        </w:tc>
      </w:tr>
    </w:tbl>
    <w:p w:rsidR="002D231B" w:rsidRPr="004C3344" w:rsidRDefault="002D231B" w:rsidP="002D231B">
      <w:pPr>
        <w:snapToGrid w:val="0"/>
        <w:spacing w:line="360" w:lineRule="atLeast"/>
        <w:rPr>
          <w:rFonts w:ascii="華康仿宋體W6(P)" w:eastAsia="華康仿宋體W6(P)" w:hAnsi="新細明體"/>
          <w:szCs w:val="24"/>
          <w:bdr w:val="single" w:sz="4" w:space="0" w:color="auto"/>
        </w:rPr>
      </w:pPr>
    </w:p>
    <w:p w:rsidR="002D231B" w:rsidRPr="004C3344" w:rsidRDefault="002D231B" w:rsidP="002D231B">
      <w:pPr>
        <w:snapToGrid w:val="0"/>
        <w:spacing w:line="360" w:lineRule="atLeast"/>
        <w:rPr>
          <w:rFonts w:ascii="華康仿宋體W6(P)" w:eastAsia="華康仿宋體W6(P)" w:hAnsi="新細明體"/>
          <w:szCs w:val="24"/>
          <w:bdr w:val="single" w:sz="4" w:space="0" w:color="auto"/>
        </w:rPr>
      </w:pPr>
      <w:r w:rsidRPr="004C3344">
        <w:rPr>
          <w:rFonts w:ascii="華康仿宋體W6(P)" w:eastAsia="華康仿宋體W6(P)" w:hAnsi="新細明體" w:hint="eastAsia"/>
          <w:szCs w:val="24"/>
          <w:bdr w:val="single" w:sz="4" w:space="0" w:color="auto"/>
        </w:rPr>
        <w:t xml:space="preserve">附件二 </w:t>
      </w:r>
    </w:p>
    <w:p w:rsidR="002D231B" w:rsidRPr="004E64ED" w:rsidRDefault="002D231B" w:rsidP="002D231B">
      <w:pPr>
        <w:pStyle w:val="a3"/>
        <w:snapToGrid w:val="0"/>
        <w:spacing w:after="0" w:line="360" w:lineRule="atLeast"/>
        <w:ind w:left="5061" w:hanging="3980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4E64ED">
        <w:rPr>
          <w:rFonts w:ascii="標楷體" w:eastAsia="標楷體" w:hAnsi="標楷體" w:hint="eastAsia"/>
          <w:bCs/>
          <w:color w:val="000000"/>
          <w:sz w:val="40"/>
          <w:szCs w:val="40"/>
        </w:rPr>
        <w:t>法鼓</w:t>
      </w:r>
      <w:r w:rsidRPr="004E64ED">
        <w:rPr>
          <w:rFonts w:ascii="標楷體" w:eastAsia="標楷體" w:hAnsi="標楷體" w:hint="eastAsia"/>
          <w:sz w:val="40"/>
          <w:szCs w:val="40"/>
          <w:lang w:val="zh-TW"/>
        </w:rPr>
        <w:t>文理</w:t>
      </w:r>
      <w:r w:rsidRPr="004E64ED">
        <w:rPr>
          <w:rFonts w:ascii="標楷體" w:eastAsia="標楷體" w:hAnsi="標楷體" w:hint="eastAsia"/>
          <w:bCs/>
          <w:color w:val="000000"/>
          <w:sz w:val="40"/>
          <w:szCs w:val="40"/>
        </w:rPr>
        <w:t>學院環保節能管理措施</w:t>
      </w:r>
    </w:p>
    <w:p w:rsidR="002D231B" w:rsidRDefault="002D231B" w:rsidP="002D231B">
      <w:pPr>
        <w:pStyle w:val="a6"/>
        <w:snapToGrid w:val="0"/>
        <w:spacing w:line="300" w:lineRule="atLeast"/>
        <w:jc w:val="right"/>
        <w:rPr>
          <w:rFonts w:ascii="標楷體" w:eastAsia="標楷體" w:hAnsi="標楷體"/>
        </w:rPr>
      </w:pPr>
      <w:r w:rsidRPr="004E64ED">
        <w:rPr>
          <w:rFonts w:ascii="標楷體" w:eastAsia="標楷體" w:hAnsi="標楷體" w:cs="標楷體" w:hint="eastAsia"/>
        </w:rPr>
        <w:t>中華民國104年09月30日104學年度第1次行政會議</w:t>
      </w:r>
      <w:r w:rsidR="007C2876" w:rsidRPr="004E64ED">
        <w:rPr>
          <w:rFonts w:ascii="標楷體" w:eastAsia="標楷體" w:hAnsi="標楷體" w:hint="eastAsia"/>
        </w:rPr>
        <w:t>修訂</w:t>
      </w:r>
    </w:p>
    <w:p w:rsidR="004E64ED" w:rsidRPr="004E64ED" w:rsidRDefault="004E64ED" w:rsidP="002D231B">
      <w:pPr>
        <w:pStyle w:val="a6"/>
        <w:snapToGrid w:val="0"/>
        <w:spacing w:line="300" w:lineRule="atLeast"/>
        <w:jc w:val="right"/>
        <w:rPr>
          <w:rFonts w:ascii="標楷體" w:eastAsia="標楷體" w:hAnsi="標楷體" w:cs="標楷體"/>
          <w:color w:val="0000FF"/>
        </w:rPr>
      </w:pPr>
    </w:p>
    <w:p w:rsidR="002D231B" w:rsidRPr="004E64ED" w:rsidRDefault="002D231B" w:rsidP="004E64ED">
      <w:pPr>
        <w:pStyle w:val="a3"/>
        <w:snapToGrid w:val="0"/>
        <w:spacing w:after="0" w:line="360" w:lineRule="atLeast"/>
        <w:ind w:left="5244" w:hangingChars="1871" w:hanging="5244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proofErr w:type="gram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空調節能</w:t>
      </w:r>
      <w:proofErr w:type="spell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室內溫度應達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28°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C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始得使用冷氣，但電腦機房、圖書館及有特殊需要者，不在此限</w:t>
      </w:r>
      <w:proofErr w:type="spellEnd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室溫已低於28℃時如覺得不會很悶熱時，此時可能會將空調主機關掉，可打開窗戶使自然風流通或使用電風扇。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空調面板溫度設定於26°C(含)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以上並配合風扇使用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，避免室內外溫差過大，時常進出易引起身體不適</w:t>
      </w:r>
      <w:proofErr w:type="spellEnd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空調使用</w:t>
      </w:r>
      <w:proofErr w:type="gramStart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期間應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緊閉門</w:t>
      </w:r>
      <w:proofErr w:type="gram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窗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放下窗簾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降低陽光照射，防止冷氣外</w:t>
      </w:r>
      <w:proofErr w:type="gramStart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洩</w:t>
      </w:r>
      <w:proofErr w:type="gramEnd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或熱風滲入，以節約能源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使用時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風量應適中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，或設定於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自動位置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，以節省能源及降低運轉聲。</w:t>
      </w:r>
    </w:p>
    <w:p w:rsidR="002D231B" w:rsidRPr="004E64ED" w:rsidRDefault="002D231B" w:rsidP="002D231B">
      <w:pPr>
        <w:pStyle w:val="a3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溫度設定每提高1℃，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約可節省</w:t>
      </w:r>
      <w:proofErr w:type="spell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6%的電力消耗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，冷氣不使用時亦請務必關閉面板電源開關，避免電力的浪費。</w:t>
      </w:r>
    </w:p>
    <w:p w:rsidR="002D231B" w:rsidRPr="004E64ED" w:rsidRDefault="002D231B" w:rsidP="004E64ED">
      <w:pPr>
        <w:pStyle w:val="a3"/>
        <w:snapToGrid w:val="0"/>
        <w:spacing w:after="0" w:line="360" w:lineRule="atLeast"/>
        <w:ind w:left="5244" w:hangingChars="1871" w:hanging="5244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(二)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電梯節能</w:t>
      </w:r>
      <w:proofErr w:type="spell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2D231B" w:rsidRPr="004E64ED" w:rsidRDefault="002D231B" w:rsidP="002D231B">
      <w:pPr>
        <w:pStyle w:val="21"/>
        <w:numPr>
          <w:ilvl w:val="0"/>
          <w:numId w:val="2"/>
        </w:numPr>
        <w:suppressAutoHyphens w:val="0"/>
        <w:snapToGrid w:val="0"/>
        <w:spacing w:line="360" w:lineRule="atLeast"/>
        <w:ind w:leftChars="0" w:firstLineChars="0"/>
        <w:contextualSpacing w:val="0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上下樓時，請多走樓梯。如需搭乘電梯，</w:t>
      </w:r>
      <w:proofErr w:type="gramStart"/>
      <w:r w:rsidRPr="004E64ED">
        <w:rPr>
          <w:rFonts w:ascii="標楷體" w:eastAsia="標楷體" w:hAnsi="標楷體" w:hint="eastAsia"/>
          <w:sz w:val="28"/>
          <w:szCs w:val="28"/>
        </w:rPr>
        <w:t>請多共乘</w:t>
      </w:r>
      <w:proofErr w:type="gramEnd"/>
      <w:r w:rsidRPr="004E64ED">
        <w:rPr>
          <w:rFonts w:ascii="標楷體" w:eastAsia="標楷體" w:hAnsi="標楷體" w:hint="eastAsia"/>
          <w:sz w:val="28"/>
          <w:szCs w:val="28"/>
        </w:rPr>
        <w:t>以提升電梯效率。</w:t>
      </w:r>
    </w:p>
    <w:p w:rsidR="002D231B" w:rsidRPr="004E64ED" w:rsidRDefault="002D231B" w:rsidP="002D231B">
      <w:pPr>
        <w:pStyle w:val="21"/>
        <w:numPr>
          <w:ilvl w:val="0"/>
          <w:numId w:val="2"/>
        </w:numPr>
        <w:suppressAutoHyphens w:val="0"/>
        <w:snapToGrid w:val="0"/>
        <w:spacing w:line="360" w:lineRule="atLeast"/>
        <w:ind w:leftChars="0" w:firstLineChars="0"/>
        <w:contextualSpacing w:val="0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若乘電梯不經過自己樓層，可配合步行</w:t>
      </w:r>
      <w:proofErr w:type="gramStart"/>
      <w:r w:rsidRPr="004E64E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64ED">
        <w:rPr>
          <w:rFonts w:ascii="標楷體" w:eastAsia="標楷體" w:hAnsi="標楷體" w:hint="eastAsia"/>
          <w:sz w:val="28"/>
          <w:szCs w:val="28"/>
        </w:rPr>
        <w:t>樓層的方式。</w:t>
      </w:r>
    </w:p>
    <w:p w:rsidR="002D231B" w:rsidRPr="004E64ED" w:rsidRDefault="002D231B" w:rsidP="004E64ED">
      <w:pPr>
        <w:pStyle w:val="a3"/>
        <w:snapToGrid w:val="0"/>
        <w:spacing w:after="0" w:line="360" w:lineRule="atLeast"/>
        <w:ind w:left="5244" w:hangingChars="1871" w:hanging="5244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(三)</w:t>
      </w:r>
      <w:proofErr w:type="spellStart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電腦、事務機器、電話節能</w:t>
      </w:r>
      <w:proofErr w:type="spellEnd"/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電腦及周邊設備：</w:t>
      </w:r>
      <w:proofErr w:type="gramStart"/>
      <w:r w:rsidRPr="004E64ED">
        <w:rPr>
          <w:rFonts w:ascii="標楷體" w:eastAsia="標楷體" w:hAnsi="標楷體" w:hint="eastAsia"/>
          <w:sz w:val="28"/>
          <w:szCs w:val="28"/>
        </w:rPr>
        <w:t>選租</w:t>
      </w:r>
      <w:proofErr w:type="gramEnd"/>
      <w:r w:rsidRPr="004E64ED">
        <w:rPr>
          <w:rFonts w:ascii="標楷體" w:eastAsia="標楷體" w:hAnsi="標楷體" w:hint="eastAsia"/>
          <w:sz w:val="28"/>
          <w:szCs w:val="28"/>
        </w:rPr>
        <w:t>(購)具環保省電標示與功能之電腦，</w:t>
      </w:r>
      <w:proofErr w:type="gramStart"/>
      <w:r w:rsidRPr="004E64ED">
        <w:rPr>
          <w:rFonts w:ascii="標楷體" w:eastAsia="標楷體" w:hAnsi="標楷體" w:hint="eastAsia"/>
          <w:sz w:val="28"/>
          <w:szCs w:val="28"/>
        </w:rPr>
        <w:t>當短時間</w:t>
      </w:r>
      <w:proofErr w:type="gramEnd"/>
      <w:r w:rsidRPr="004E64ED">
        <w:rPr>
          <w:rFonts w:ascii="標楷體" w:eastAsia="標楷體" w:hAnsi="標楷體" w:hint="eastAsia"/>
          <w:sz w:val="28"/>
          <w:szCs w:val="28"/>
        </w:rPr>
        <w:t>不使用時，請調至低耗能休眠狀態，並關閉電腦螢幕電源；長時間不用電腦時應關閉電源，減少待機耗電損失。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proofErr w:type="gramStart"/>
      <w:r w:rsidRPr="004E64ED">
        <w:rPr>
          <w:rFonts w:ascii="標楷體" w:eastAsia="標楷體" w:hAnsi="標楷體" w:hint="eastAsia"/>
          <w:sz w:val="28"/>
          <w:szCs w:val="28"/>
        </w:rPr>
        <w:t>選租</w:t>
      </w:r>
      <w:proofErr w:type="gramEnd"/>
      <w:r w:rsidRPr="004E64ED">
        <w:rPr>
          <w:rFonts w:ascii="標楷體" w:eastAsia="標楷體" w:hAnsi="標楷體" w:hint="eastAsia"/>
          <w:sz w:val="28"/>
          <w:szCs w:val="28"/>
        </w:rPr>
        <w:t>(購)具省電功能之影印機，可在未使用時，自動進入省電狀態；午休時間關閉電源或設定影印機休眠等用電設備；影印機之安裝，其背面排氣孔與牆面應保持10公分以上之距離，以利散熱；不可安放於空氣不流通或灰塵多的地方，影響機器效率。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複印前須先妥為設定所需之紙張大小及複印份數，以免增加無效的複印。或請盡量雙面列印，重複使用二手紙，避免浪費紙張及電力。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影印機請預設『黑白』列印；如需彩色列印再手動選擇彩色列印；並隨時注意個人影印與列印的張數是否異常。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公文書、會議資料儘量使用電子郵件、掃描功能或投影簡報，減少影印及紙張用量。</w:t>
      </w:r>
    </w:p>
    <w:p w:rsidR="002D231B" w:rsidRPr="004E64ED" w:rsidRDefault="002D231B" w:rsidP="002D231B">
      <w:pPr>
        <w:pStyle w:val="a3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napToGrid w:val="0"/>
        <w:spacing w:after="0" w:line="360" w:lineRule="atLeast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使用電話請盡量『長話短說』。撥打外線時，請先利用網路電話；中華電信手機用戶可至</w:t>
      </w:r>
      <w:r w:rsidRPr="004E64ED">
        <w:rPr>
          <w:rFonts w:ascii="標楷體" w:eastAsia="標楷體" w:hAnsi="標楷體" w:hint="eastAsia"/>
          <w:sz w:val="28"/>
          <w:szCs w:val="28"/>
          <w:u w:val="single"/>
        </w:rPr>
        <w:t>總務處營</w:t>
      </w:r>
      <w:proofErr w:type="gramStart"/>
      <w:r w:rsidRPr="004E64ED">
        <w:rPr>
          <w:rFonts w:ascii="標楷體" w:eastAsia="標楷體" w:hAnsi="標楷體" w:hint="eastAsia"/>
          <w:sz w:val="28"/>
          <w:szCs w:val="28"/>
          <w:u w:val="single"/>
        </w:rPr>
        <w:t>繕</w:t>
      </w:r>
      <w:proofErr w:type="gramEnd"/>
      <w:r w:rsidRPr="004E64ED">
        <w:rPr>
          <w:rFonts w:ascii="標楷體" w:eastAsia="標楷體" w:hAnsi="標楷體" w:hint="eastAsia"/>
          <w:sz w:val="28"/>
          <w:szCs w:val="28"/>
          <w:u w:val="single"/>
        </w:rPr>
        <w:t>組</w:t>
      </w:r>
      <w:r w:rsidRPr="004E64ED">
        <w:rPr>
          <w:rFonts w:ascii="標楷體" w:eastAsia="標楷體" w:hAnsi="標楷體" w:hint="eastAsia"/>
          <w:sz w:val="28"/>
          <w:szCs w:val="28"/>
        </w:rPr>
        <w:t>申請加入法鼓山群組。</w:t>
      </w:r>
    </w:p>
    <w:p w:rsidR="002D231B" w:rsidRPr="004E64ED" w:rsidRDefault="002D231B" w:rsidP="002D231B">
      <w:pPr>
        <w:pStyle w:val="21"/>
        <w:snapToGrid w:val="0"/>
        <w:spacing w:line="360" w:lineRule="atLeast"/>
        <w:ind w:leftChars="0" w:left="227" w:firstLineChars="0" w:hanging="227"/>
        <w:contextualSpacing w:val="0"/>
        <w:rPr>
          <w:rFonts w:ascii="標楷體" w:eastAsia="標楷體" w:hAnsi="標楷體"/>
          <w:b/>
          <w:bCs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(四)電燈、用水節能:</w:t>
      </w:r>
    </w:p>
    <w:p w:rsidR="002D231B" w:rsidRPr="004E64ED" w:rsidRDefault="002D231B" w:rsidP="002D231B">
      <w:pPr>
        <w:pStyle w:val="21"/>
        <w:numPr>
          <w:ilvl w:val="0"/>
          <w:numId w:val="3"/>
        </w:numPr>
        <w:suppressAutoHyphens w:val="0"/>
        <w:snapToGrid w:val="0"/>
        <w:spacing w:line="360" w:lineRule="atLeast"/>
        <w:ind w:leftChars="0" w:firstLineChars="0"/>
        <w:contextualSpacing w:val="0"/>
        <w:rPr>
          <w:rFonts w:ascii="標楷體" w:eastAsia="標楷體" w:hAnsi="標楷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lastRenderedPageBreak/>
        <w:t>各單位空間依使用狀況，務必隨手關閉不使用之空調、照明及設備等。</w:t>
      </w:r>
    </w:p>
    <w:p w:rsidR="002D231B" w:rsidRPr="004E64ED" w:rsidRDefault="002D231B" w:rsidP="002D231B">
      <w:pPr>
        <w:pStyle w:val="21"/>
        <w:numPr>
          <w:ilvl w:val="0"/>
          <w:numId w:val="3"/>
        </w:numPr>
        <w:suppressAutoHyphens w:val="0"/>
        <w:snapToGrid w:val="0"/>
        <w:spacing w:line="360" w:lineRule="atLeast"/>
        <w:ind w:leftChars="0" w:firstLineChars="0"/>
        <w:contextualSpacing w:val="0"/>
        <w:rPr>
          <w:rFonts w:ascii="標楷體" w:eastAsia="標楷體" w:hAnsi="標楷體" w:cs="新細明體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清潔用水時，請將水量調至適中；並利用容器盛水使用。請隨手關閉水龍頭，如有漏水情事，請儘速通知</w:t>
      </w:r>
      <w:r w:rsidRPr="004E64ED">
        <w:rPr>
          <w:rFonts w:ascii="標楷體" w:eastAsia="標楷體" w:hAnsi="標楷體" w:hint="eastAsia"/>
          <w:sz w:val="28"/>
          <w:szCs w:val="28"/>
          <w:u w:val="single"/>
        </w:rPr>
        <w:t>總務處營</w:t>
      </w:r>
      <w:proofErr w:type="gramStart"/>
      <w:r w:rsidRPr="004E64ED">
        <w:rPr>
          <w:rFonts w:ascii="標楷體" w:eastAsia="標楷體" w:hAnsi="標楷體" w:hint="eastAsia"/>
          <w:sz w:val="28"/>
          <w:szCs w:val="28"/>
          <w:u w:val="single"/>
        </w:rPr>
        <w:t>繕</w:t>
      </w:r>
      <w:proofErr w:type="gramEnd"/>
      <w:r w:rsidRPr="004E64ED">
        <w:rPr>
          <w:rFonts w:ascii="標楷體" w:eastAsia="標楷體" w:hAnsi="標楷體" w:hint="eastAsia"/>
          <w:sz w:val="28"/>
          <w:szCs w:val="28"/>
          <w:u w:val="single"/>
        </w:rPr>
        <w:t>組</w:t>
      </w:r>
      <w:r w:rsidRPr="004E64ED">
        <w:rPr>
          <w:rFonts w:ascii="標楷體" w:eastAsia="標楷體" w:hAnsi="標楷體" w:hint="eastAsia"/>
          <w:sz w:val="28"/>
          <w:szCs w:val="28"/>
        </w:rPr>
        <w:t>維修。</w:t>
      </w:r>
    </w:p>
    <w:p w:rsidR="002D231B" w:rsidRPr="004E64ED" w:rsidRDefault="002D231B" w:rsidP="002D231B">
      <w:pPr>
        <w:pStyle w:val="22"/>
        <w:snapToGrid w:val="0"/>
        <w:spacing w:after="0" w:line="360" w:lineRule="atLeast"/>
        <w:ind w:leftChars="0" w:left="3980" w:hanging="3980"/>
        <w:contextualSpacing w:val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4E64ED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五)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資源回收：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配合政府推動禁止使用免洗餐具政策，於校內、外舉行會議或用餐時，請攜帶環保餐具、環保杯、環保筷、環保購物袋</w:t>
      </w:r>
      <w:r w:rsidRPr="004E64E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各單位辦理活動時，除特殊狀況外，不得提供紙杯、杯水或瓶裝礦泉水。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資料電子化、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請多利用掃描功能，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善用二手紙、二手信封、二手</w:t>
      </w:r>
      <w:proofErr w:type="gramStart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便利袋</w:t>
      </w:r>
      <w:proofErr w:type="gramEnd"/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與便利箱，辦公場所之</w:t>
      </w:r>
      <w:r w:rsidRPr="004E64ED">
        <w:rPr>
          <w:rFonts w:ascii="標楷體" w:eastAsia="標楷體" w:hAnsi="標楷體" w:hint="eastAsia"/>
          <w:bCs/>
          <w:color w:val="000000"/>
          <w:sz w:val="28"/>
          <w:szCs w:val="28"/>
        </w:rPr>
        <w:t>影印機旁可設置「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背面空白</w:t>
      </w:r>
      <w:r w:rsidRPr="004E64ED">
        <w:rPr>
          <w:rFonts w:ascii="標楷體" w:eastAsia="標楷體" w:hAnsi="標楷體" w:hint="eastAsia"/>
          <w:bCs/>
          <w:color w:val="000000"/>
          <w:sz w:val="28"/>
          <w:szCs w:val="28"/>
        </w:rPr>
        <w:t>廢紙回收箱」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 xml:space="preserve"> 隨身攜帶手帕，節約廁所、清潔用紙（非用於擦手用途）。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垃圾請務必分成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一般垃圾、資源回收與廚餘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三大類。請清洗完畢後，自行拿至</w:t>
      </w:r>
      <w:r w:rsidRPr="004E64ED">
        <w:rPr>
          <w:rFonts w:ascii="標楷體" w:eastAsia="標楷體" w:hAnsi="標楷體" w:hint="eastAsia"/>
          <w:sz w:val="28"/>
          <w:szCs w:val="28"/>
          <w:u w:val="single"/>
        </w:rPr>
        <w:t>指定地點</w:t>
      </w:r>
      <w:r w:rsidRPr="004E64ED">
        <w:rPr>
          <w:rFonts w:ascii="標楷體" w:eastAsia="標楷體" w:hAnsi="標楷體" w:hint="eastAsia"/>
          <w:sz w:val="28"/>
          <w:szCs w:val="28"/>
        </w:rPr>
        <w:t>之資源回收區分類回收。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凡</w:t>
      </w:r>
      <w:r w:rsidRPr="004E64E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光碟片、碳粉夾、墨水夾、廢電池、廢電纜、廢燈管</w:t>
      </w:r>
      <w:r w:rsidRPr="004E64ED">
        <w:rPr>
          <w:rFonts w:ascii="標楷體" w:eastAsia="標楷體" w:hAnsi="標楷體" w:hint="eastAsia"/>
          <w:sz w:val="28"/>
          <w:szCs w:val="28"/>
        </w:rPr>
        <w:t>、水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銀溫度計與資訊類</w:t>
      </w:r>
      <w:r w:rsidRPr="004E64ED">
        <w:rPr>
          <w:rFonts w:ascii="標楷體" w:eastAsia="標楷體" w:hAnsi="標楷體" w:hint="eastAsia"/>
          <w:sz w:val="28"/>
          <w:szCs w:val="28"/>
        </w:rPr>
        <w:t>等產品，請確實放置資源回收區，以免造成環境汙染。</w:t>
      </w:r>
    </w:p>
    <w:p w:rsidR="002D231B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過期藥品</w:t>
      </w:r>
      <w:r w:rsidRPr="004E64ED">
        <w:rPr>
          <w:rFonts w:ascii="標楷體" w:eastAsia="標楷體" w:hAnsi="標楷體" w:cs="Arial" w:hint="eastAsia"/>
          <w:color w:val="000000"/>
          <w:sz w:val="28"/>
          <w:szCs w:val="28"/>
        </w:rPr>
        <w:t>請放</w:t>
      </w:r>
      <w:r w:rsidRPr="004E64ED">
        <w:rPr>
          <w:rFonts w:ascii="標楷體" w:eastAsia="標楷體" w:hAnsi="標楷體" w:cs="Arial" w:hint="eastAsia"/>
          <w:sz w:val="28"/>
          <w:szCs w:val="28"/>
        </w:rPr>
        <w:t>置</w:t>
      </w:r>
      <w:r w:rsidRPr="004E64ED">
        <w:rPr>
          <w:rFonts w:ascii="標楷體" w:eastAsia="標楷體" w:hAnsi="標楷體" w:hint="eastAsia"/>
          <w:sz w:val="28"/>
          <w:szCs w:val="28"/>
        </w:rPr>
        <w:t>至</w:t>
      </w:r>
      <w:r w:rsidRPr="004E64ED">
        <w:rPr>
          <w:rFonts w:ascii="標楷體" w:eastAsia="標楷體" w:hAnsi="標楷體" w:hint="eastAsia"/>
          <w:sz w:val="28"/>
          <w:szCs w:val="28"/>
          <w:u w:val="single"/>
        </w:rPr>
        <w:t>指定地點</w:t>
      </w:r>
      <w:r w:rsidRPr="004E64ED">
        <w:rPr>
          <w:rFonts w:ascii="標楷體" w:eastAsia="標楷體" w:hAnsi="標楷體" w:hint="eastAsia"/>
          <w:sz w:val="28"/>
          <w:szCs w:val="28"/>
        </w:rPr>
        <w:t>之資源回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收區『</w:t>
      </w:r>
      <w:r w:rsidRPr="004E64ED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藥品回收箱</w:t>
      </w:r>
      <w:r w:rsidRPr="004E64ED">
        <w:rPr>
          <w:rFonts w:ascii="標楷體" w:eastAsia="標楷體" w:hAnsi="標楷體" w:hint="eastAsia"/>
          <w:color w:val="000000"/>
          <w:sz w:val="28"/>
          <w:szCs w:val="28"/>
        </w:rPr>
        <w:t>』，請勿丟入馬桶或一般垃圾中，以免造成環境與水源汙染。</w:t>
      </w:r>
    </w:p>
    <w:p w:rsidR="003E07DF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E64ED">
        <w:rPr>
          <w:rFonts w:ascii="標楷體" w:eastAsia="標楷體" w:hAnsi="標楷體" w:hint="eastAsia"/>
          <w:sz w:val="28"/>
          <w:szCs w:val="28"/>
        </w:rPr>
        <w:t>垃圾以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5R</w:t>
      </w:r>
      <w:r w:rsidRPr="004E64ED">
        <w:rPr>
          <w:rFonts w:ascii="標楷體" w:eastAsia="標楷體" w:hAnsi="標楷體" w:hint="eastAsia"/>
          <w:sz w:val="28"/>
          <w:szCs w:val="28"/>
        </w:rPr>
        <w:t>為原則，分別為：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Reduce</w:t>
      </w:r>
      <w:r w:rsidRPr="004E64ED">
        <w:rPr>
          <w:rFonts w:ascii="標楷體" w:eastAsia="標楷體" w:hAnsi="標楷體" w:hint="eastAsia"/>
          <w:sz w:val="28"/>
          <w:szCs w:val="28"/>
        </w:rPr>
        <w:t>(減少丟棄之垃圾量)、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Reuse</w:t>
      </w:r>
      <w:r w:rsidRPr="004E64ED">
        <w:rPr>
          <w:rFonts w:ascii="標楷體" w:eastAsia="標楷體" w:hAnsi="標楷體" w:hint="eastAsia"/>
          <w:sz w:val="28"/>
          <w:szCs w:val="28"/>
        </w:rPr>
        <w:t>(重複使用容器或產品)、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Repair</w:t>
      </w:r>
      <w:r w:rsidRPr="004E64ED">
        <w:rPr>
          <w:rFonts w:ascii="標楷體" w:eastAsia="標楷體" w:hAnsi="標楷體" w:hint="eastAsia"/>
          <w:sz w:val="28"/>
          <w:szCs w:val="28"/>
        </w:rPr>
        <w:t>(重視維修保養，延長物品使用壽命)、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Refuse</w:t>
      </w:r>
      <w:r w:rsidRPr="004E64ED">
        <w:rPr>
          <w:rFonts w:ascii="標楷體" w:eastAsia="標楷體" w:hAnsi="標楷體" w:hint="eastAsia"/>
          <w:sz w:val="28"/>
          <w:szCs w:val="28"/>
        </w:rPr>
        <w:t>(拒用無環保觀念產品)、</w:t>
      </w:r>
      <w:r w:rsidRPr="004E64ED">
        <w:rPr>
          <w:rFonts w:ascii="標楷體" w:eastAsia="標楷體" w:hAnsi="標楷體" w:hint="eastAsia"/>
          <w:b/>
          <w:bCs/>
          <w:sz w:val="28"/>
          <w:szCs w:val="28"/>
        </w:rPr>
        <w:t>Recycle</w:t>
      </w:r>
      <w:r w:rsidRPr="004E64ED">
        <w:rPr>
          <w:rFonts w:ascii="標楷體" w:eastAsia="標楷體" w:hAnsi="標楷體" w:hint="eastAsia"/>
          <w:sz w:val="28"/>
          <w:szCs w:val="28"/>
        </w:rPr>
        <w:t>(回收使用再生產品)</w:t>
      </w:r>
    </w:p>
    <w:p w:rsidR="00270F94" w:rsidRPr="004E64ED" w:rsidRDefault="002D231B" w:rsidP="002D231B">
      <w:pPr>
        <w:pStyle w:val="Web"/>
        <w:numPr>
          <w:ilvl w:val="0"/>
          <w:numId w:val="4"/>
        </w:numPr>
        <w:tabs>
          <w:tab w:val="left" w:pos="980"/>
        </w:tabs>
        <w:suppressAutoHyphens w:val="0"/>
        <w:snapToGrid w:val="0"/>
        <w:spacing w:before="0" w:after="0" w:line="360" w:lineRule="atLeas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E64ED">
        <w:rPr>
          <w:rFonts w:ascii="標楷體" w:eastAsia="標楷體" w:hAnsi="標楷體" w:cs="華康標楷體(P)" w:hint="eastAsia"/>
          <w:kern w:val="2"/>
          <w:sz w:val="28"/>
          <w:szCs w:val="28"/>
          <w:u w:val="single"/>
        </w:rPr>
        <w:t>本要點經行政會議通過，校長核定後公布實施，修訂時亦同。</w:t>
      </w:r>
    </w:p>
    <w:sectPr w:rsidR="00270F94" w:rsidRPr="004E64ED" w:rsidSect="002D231B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B1" w:rsidRDefault="006203B1" w:rsidP="006203B1">
      <w:r>
        <w:separator/>
      </w:r>
    </w:p>
  </w:endnote>
  <w:endnote w:type="continuationSeparator" w:id="0">
    <w:p w:rsidR="006203B1" w:rsidRDefault="006203B1" w:rsidP="006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B1" w:rsidRDefault="006203B1" w:rsidP="006203B1">
      <w:r>
        <w:separator/>
      </w:r>
    </w:p>
  </w:footnote>
  <w:footnote w:type="continuationSeparator" w:id="0">
    <w:p w:rsidR="006203B1" w:rsidRDefault="006203B1" w:rsidP="0062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81F"/>
    <w:multiLevelType w:val="hybridMultilevel"/>
    <w:tmpl w:val="64BCE428"/>
    <w:lvl w:ilvl="0" w:tplc="34283F7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3462FE38">
      <w:start w:val="1"/>
      <w:numFmt w:val="decimal"/>
      <w:lvlText w:val="%2."/>
      <w:lvlJc w:val="left"/>
      <w:pPr>
        <w:tabs>
          <w:tab w:val="num" w:pos="-87"/>
        </w:tabs>
        <w:ind w:left="140" w:hanging="227"/>
      </w:pPr>
      <w:rPr>
        <w:rFonts w:hint="default"/>
      </w:rPr>
    </w:lvl>
    <w:lvl w:ilvl="2" w:tplc="4E242C38">
      <w:start w:val="1"/>
      <w:numFmt w:val="taiwaneseCountingThousand"/>
      <w:lvlText w:val="%3、"/>
      <w:lvlJc w:val="left"/>
      <w:pPr>
        <w:ind w:left="111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1">
    <w:nsid w:val="2A7506A5"/>
    <w:multiLevelType w:val="hybridMultilevel"/>
    <w:tmpl w:val="3B9C3F5C"/>
    <w:lvl w:ilvl="0" w:tplc="631227D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5F0E2E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E74F634">
      <w:start w:val="1"/>
      <w:numFmt w:val="taiwaneseCountingThousand"/>
      <w:lvlText w:val="%3、"/>
      <w:lvlJc w:val="left"/>
      <w:pPr>
        <w:ind w:left="960" w:hanging="480"/>
      </w:pPr>
      <w:rPr>
        <w:rFonts w:ascii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30EA3748"/>
    <w:multiLevelType w:val="hybridMultilevel"/>
    <w:tmpl w:val="20BAC7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7B5C58"/>
    <w:multiLevelType w:val="hybridMultilevel"/>
    <w:tmpl w:val="165AF2B8"/>
    <w:lvl w:ilvl="0" w:tplc="EB24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5F36E24"/>
    <w:multiLevelType w:val="hybridMultilevel"/>
    <w:tmpl w:val="864EF14E"/>
    <w:lvl w:ilvl="0" w:tplc="0E7E7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13"/>
    <w:rsid w:val="00093444"/>
    <w:rsid w:val="001B062D"/>
    <w:rsid w:val="002D231B"/>
    <w:rsid w:val="003E07DF"/>
    <w:rsid w:val="00415913"/>
    <w:rsid w:val="004E64ED"/>
    <w:rsid w:val="00507989"/>
    <w:rsid w:val="005C5903"/>
    <w:rsid w:val="006203B1"/>
    <w:rsid w:val="007C2876"/>
    <w:rsid w:val="00E00375"/>
    <w:rsid w:val="00F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13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5913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415913"/>
    <w:rPr>
      <w:rFonts w:ascii="Calibri" w:eastAsia="新細明體" w:hAnsi="Calibri" w:cs="Times New Roman"/>
      <w:kern w:val="1"/>
      <w:lang w:val="x-none"/>
    </w:rPr>
  </w:style>
  <w:style w:type="paragraph" w:customStyle="1" w:styleId="a5">
    <w:name w:val="主旨段"/>
    <w:basedOn w:val="a"/>
    <w:rsid w:val="00415913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/>
      <w:sz w:val="30"/>
      <w:szCs w:val="20"/>
    </w:rPr>
  </w:style>
  <w:style w:type="paragraph" w:styleId="2">
    <w:name w:val="Body Text Indent 2"/>
    <w:basedOn w:val="a"/>
    <w:link w:val="20"/>
    <w:rsid w:val="00415913"/>
    <w:pPr>
      <w:spacing w:after="120" w:line="480" w:lineRule="auto"/>
      <w:ind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link w:val="2"/>
    <w:rsid w:val="00415913"/>
    <w:rPr>
      <w:rFonts w:ascii="Times New Roman" w:eastAsia="新細明體" w:hAnsi="Times New Roman" w:cs="Times New Roman"/>
      <w:kern w:val="1"/>
      <w:szCs w:val="24"/>
    </w:rPr>
  </w:style>
  <w:style w:type="paragraph" w:styleId="a6">
    <w:name w:val="No Spacing"/>
    <w:qFormat/>
    <w:rsid w:val="0041591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a7">
    <w:name w:val="header"/>
    <w:basedOn w:val="a"/>
    <w:link w:val="a8"/>
    <w:uiPriority w:val="99"/>
    <w:unhideWhenUsed/>
    <w:rsid w:val="0062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03B1"/>
    <w:rPr>
      <w:rFonts w:ascii="Calibri" w:eastAsia="新細明體" w:hAnsi="Calibri" w:cs="Times New Roman"/>
      <w:kern w:val="1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03B1"/>
    <w:rPr>
      <w:rFonts w:ascii="Calibri" w:eastAsia="新細明體" w:hAnsi="Calibri" w:cs="Times New Roman"/>
      <w:kern w:val="1"/>
      <w:sz w:val="20"/>
      <w:szCs w:val="20"/>
    </w:rPr>
  </w:style>
  <w:style w:type="character" w:customStyle="1" w:styleId="WW8Num4z4">
    <w:name w:val="WW8Num4z4"/>
    <w:rsid w:val="002D231B"/>
  </w:style>
  <w:style w:type="paragraph" w:styleId="Web">
    <w:name w:val="Normal (Web)"/>
    <w:basedOn w:val="a"/>
    <w:rsid w:val="002D231B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21">
    <w:name w:val="List 2"/>
    <w:basedOn w:val="a"/>
    <w:semiHidden/>
    <w:unhideWhenUsed/>
    <w:rsid w:val="002D231B"/>
    <w:pPr>
      <w:ind w:leftChars="400" w:left="100" w:hangingChars="200" w:hanging="200"/>
      <w:contextualSpacing/>
    </w:pPr>
  </w:style>
  <w:style w:type="paragraph" w:styleId="22">
    <w:name w:val="List Continue 2"/>
    <w:basedOn w:val="a"/>
    <w:uiPriority w:val="99"/>
    <w:semiHidden/>
    <w:unhideWhenUsed/>
    <w:rsid w:val="002D231B"/>
    <w:pPr>
      <w:spacing w:after="120"/>
      <w:ind w:leftChars="400" w:left="9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13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5913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415913"/>
    <w:rPr>
      <w:rFonts w:ascii="Calibri" w:eastAsia="新細明體" w:hAnsi="Calibri" w:cs="Times New Roman"/>
      <w:kern w:val="1"/>
      <w:lang w:val="x-none"/>
    </w:rPr>
  </w:style>
  <w:style w:type="paragraph" w:customStyle="1" w:styleId="a5">
    <w:name w:val="主旨段"/>
    <w:basedOn w:val="a"/>
    <w:rsid w:val="00415913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/>
      <w:sz w:val="30"/>
      <w:szCs w:val="20"/>
    </w:rPr>
  </w:style>
  <w:style w:type="paragraph" w:styleId="2">
    <w:name w:val="Body Text Indent 2"/>
    <w:basedOn w:val="a"/>
    <w:link w:val="20"/>
    <w:rsid w:val="00415913"/>
    <w:pPr>
      <w:spacing w:after="120" w:line="480" w:lineRule="auto"/>
      <w:ind w:left="480"/>
    </w:pPr>
    <w:rPr>
      <w:rFonts w:ascii="Times New Roman" w:hAnsi="Times New Roman"/>
      <w:szCs w:val="24"/>
    </w:rPr>
  </w:style>
  <w:style w:type="character" w:customStyle="1" w:styleId="20">
    <w:name w:val="本文縮排 2 字元"/>
    <w:basedOn w:val="a0"/>
    <w:link w:val="2"/>
    <w:rsid w:val="00415913"/>
    <w:rPr>
      <w:rFonts w:ascii="Times New Roman" w:eastAsia="新細明體" w:hAnsi="Times New Roman" w:cs="Times New Roman"/>
      <w:kern w:val="1"/>
      <w:szCs w:val="24"/>
    </w:rPr>
  </w:style>
  <w:style w:type="paragraph" w:styleId="a6">
    <w:name w:val="No Spacing"/>
    <w:qFormat/>
    <w:rsid w:val="0041591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a7">
    <w:name w:val="header"/>
    <w:basedOn w:val="a"/>
    <w:link w:val="a8"/>
    <w:uiPriority w:val="99"/>
    <w:unhideWhenUsed/>
    <w:rsid w:val="0062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03B1"/>
    <w:rPr>
      <w:rFonts w:ascii="Calibri" w:eastAsia="新細明體" w:hAnsi="Calibri" w:cs="Times New Roman"/>
      <w:kern w:val="1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03B1"/>
    <w:rPr>
      <w:rFonts w:ascii="Calibri" w:eastAsia="新細明體" w:hAnsi="Calibri" w:cs="Times New Roman"/>
      <w:kern w:val="1"/>
      <w:sz w:val="20"/>
      <w:szCs w:val="20"/>
    </w:rPr>
  </w:style>
  <w:style w:type="character" w:customStyle="1" w:styleId="WW8Num4z4">
    <w:name w:val="WW8Num4z4"/>
    <w:rsid w:val="002D231B"/>
  </w:style>
  <w:style w:type="paragraph" w:styleId="Web">
    <w:name w:val="Normal (Web)"/>
    <w:basedOn w:val="a"/>
    <w:rsid w:val="002D231B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21">
    <w:name w:val="List 2"/>
    <w:basedOn w:val="a"/>
    <w:semiHidden/>
    <w:unhideWhenUsed/>
    <w:rsid w:val="002D231B"/>
    <w:pPr>
      <w:ind w:leftChars="400" w:left="100" w:hangingChars="200" w:hanging="200"/>
      <w:contextualSpacing/>
    </w:pPr>
  </w:style>
  <w:style w:type="paragraph" w:styleId="22">
    <w:name w:val="List Continue 2"/>
    <w:basedOn w:val="a"/>
    <w:uiPriority w:val="99"/>
    <w:semiHidden/>
    <w:unhideWhenUsed/>
    <w:rsid w:val="002D231B"/>
    <w:pPr>
      <w:spacing w:after="120"/>
      <w:ind w:leftChars="400" w:left="9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>SYNNEX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釋演皎</dc:creator>
  <cp:lastModifiedBy>cqis</cp:lastModifiedBy>
  <cp:revision>2</cp:revision>
  <dcterms:created xsi:type="dcterms:W3CDTF">2016-02-29T07:35:00Z</dcterms:created>
  <dcterms:modified xsi:type="dcterms:W3CDTF">2016-02-29T07:35:00Z</dcterms:modified>
</cp:coreProperties>
</file>