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涂善勇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10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828A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000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673</w:t>
      </w:r>
    </w:p>
    <w:p w:rsidR="00646CAD" w:rsidRPr="00675070" w:rsidRDefault="00837722" w:rsidP="00646CAD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11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05201" w:rsidRPr="00675070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E96778" w:rsidRPr="00675070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C246DF" w:rsidRPr="00C246DF">
        <w:rPr>
          <w:rFonts w:ascii="Times New Roman" w:eastAsia="標楷體" w:hAnsi="Times New Roman" w:cs="Times New Roman"/>
          <w:sz w:val="28"/>
          <w:szCs w:val="28"/>
        </w:rPr>
        <w:t>核心網路</w:t>
      </w:r>
      <w:r w:rsidR="00C246DF" w:rsidRPr="00C246DF">
        <w:rPr>
          <w:rFonts w:ascii="Times New Roman" w:eastAsia="標楷體" w:hAnsi="Times New Roman" w:cs="Times New Roman"/>
          <w:sz w:val="28"/>
          <w:szCs w:val="28"/>
        </w:rPr>
        <w:t>(</w:t>
      </w:r>
      <w:r w:rsidR="00C246DF" w:rsidRPr="00C246DF">
        <w:rPr>
          <w:rFonts w:ascii="Times New Roman" w:eastAsia="標楷體" w:hAnsi="Times New Roman" w:cs="Times New Roman"/>
          <w:sz w:val="28"/>
          <w:szCs w:val="28"/>
        </w:rPr>
        <w:t>路由器及防火牆</w:t>
      </w:r>
      <w:r w:rsidR="00C246DF" w:rsidRPr="00C246DF">
        <w:rPr>
          <w:rFonts w:ascii="Times New Roman" w:eastAsia="標楷體" w:hAnsi="Times New Roman" w:cs="Times New Roman"/>
          <w:sz w:val="28"/>
          <w:szCs w:val="28"/>
        </w:rPr>
        <w:t>)</w:t>
      </w:r>
      <w:r w:rsidR="00C246DF" w:rsidRPr="00C246DF">
        <w:rPr>
          <w:rFonts w:ascii="Times New Roman" w:eastAsia="標楷體" w:hAnsi="Times New Roman" w:cs="Times New Roman"/>
          <w:sz w:val="28"/>
          <w:szCs w:val="28"/>
        </w:rPr>
        <w:t>維護</w:t>
      </w:r>
      <w:r w:rsidR="00B057C2" w:rsidRPr="00675070">
        <w:rPr>
          <w:rFonts w:ascii="Times New Roman" w:eastAsia="標楷體" w:hAnsi="Times New Roman" w:cs="Times New Roman" w:hint="eastAsia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2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</w:t>
      </w:r>
      <w:r w:rsidR="0054057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.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304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C246D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22F35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31134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E96778" w:rsidRDefault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C246DF" w:rsidRPr="00C246DF">
        <w:rPr>
          <w:rFonts w:ascii="Times New Roman" w:eastAsia="標楷體" w:hAnsi="Times New Roman" w:cs="Times New Roman" w:hint="eastAsia"/>
          <w:sz w:val="28"/>
          <w:szCs w:val="28"/>
        </w:rPr>
        <w:t>瑞元資訊股份</w:t>
      </w:r>
      <w:r w:rsidR="00675070" w:rsidRPr="00675070">
        <w:rPr>
          <w:rFonts w:ascii="Times New Roman" w:eastAsia="標楷體" w:hAnsi="Times New Roman" w:cs="Times New Roman"/>
          <w:sz w:val="28"/>
          <w:szCs w:val="28"/>
        </w:rPr>
        <w:t>有限公司</w:t>
      </w:r>
      <w:bookmarkStart w:id="0" w:name="_GoBack"/>
      <w:bookmarkEnd w:id="0"/>
    </w:p>
    <w:sectPr w:rsidR="00843885" w:rsidRPr="00E96778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B4" w:rsidRDefault="00083EB4">
      <w:r>
        <w:separator/>
      </w:r>
    </w:p>
  </w:endnote>
  <w:endnote w:type="continuationSeparator" w:id="0">
    <w:p w:rsidR="00083EB4" w:rsidRDefault="0008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B4" w:rsidRDefault="00083EB4">
      <w:r>
        <w:separator/>
      </w:r>
    </w:p>
  </w:footnote>
  <w:footnote w:type="continuationSeparator" w:id="0">
    <w:p w:rsidR="00083EB4" w:rsidRDefault="00083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2F35"/>
    <w:rsid w:val="00040DC5"/>
    <w:rsid w:val="00083EB4"/>
    <w:rsid w:val="00101EF6"/>
    <w:rsid w:val="00123264"/>
    <w:rsid w:val="0013108A"/>
    <w:rsid w:val="00171FD5"/>
    <w:rsid w:val="00186795"/>
    <w:rsid w:val="001B3ABB"/>
    <w:rsid w:val="001C31DB"/>
    <w:rsid w:val="0023153D"/>
    <w:rsid w:val="002445B7"/>
    <w:rsid w:val="0025591F"/>
    <w:rsid w:val="00274F49"/>
    <w:rsid w:val="002B377A"/>
    <w:rsid w:val="002C2CBF"/>
    <w:rsid w:val="002C769A"/>
    <w:rsid w:val="00305201"/>
    <w:rsid w:val="00311345"/>
    <w:rsid w:val="003209DB"/>
    <w:rsid w:val="0033687A"/>
    <w:rsid w:val="00372EC7"/>
    <w:rsid w:val="003920FA"/>
    <w:rsid w:val="003E400D"/>
    <w:rsid w:val="00402A5B"/>
    <w:rsid w:val="00437347"/>
    <w:rsid w:val="00445BC8"/>
    <w:rsid w:val="004828AD"/>
    <w:rsid w:val="005129FD"/>
    <w:rsid w:val="00540578"/>
    <w:rsid w:val="005B0DE1"/>
    <w:rsid w:val="005B6643"/>
    <w:rsid w:val="00622218"/>
    <w:rsid w:val="006240F6"/>
    <w:rsid w:val="00646CAD"/>
    <w:rsid w:val="00664E4D"/>
    <w:rsid w:val="00667156"/>
    <w:rsid w:val="00675070"/>
    <w:rsid w:val="006D34E7"/>
    <w:rsid w:val="006D6E31"/>
    <w:rsid w:val="006E5F99"/>
    <w:rsid w:val="00720BF1"/>
    <w:rsid w:val="00745435"/>
    <w:rsid w:val="00750A5E"/>
    <w:rsid w:val="007A254D"/>
    <w:rsid w:val="007A73D7"/>
    <w:rsid w:val="007B372F"/>
    <w:rsid w:val="007B39DC"/>
    <w:rsid w:val="007E4382"/>
    <w:rsid w:val="007F0F27"/>
    <w:rsid w:val="007F0FDF"/>
    <w:rsid w:val="00806FE6"/>
    <w:rsid w:val="00817E23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AA008A"/>
    <w:rsid w:val="00B057C2"/>
    <w:rsid w:val="00B3266E"/>
    <w:rsid w:val="00B768C2"/>
    <w:rsid w:val="00B87785"/>
    <w:rsid w:val="00B95C68"/>
    <w:rsid w:val="00BB3A81"/>
    <w:rsid w:val="00BF048D"/>
    <w:rsid w:val="00C246DF"/>
    <w:rsid w:val="00C25548"/>
    <w:rsid w:val="00CD7229"/>
    <w:rsid w:val="00D72E3A"/>
    <w:rsid w:val="00DB6414"/>
    <w:rsid w:val="00E52115"/>
    <w:rsid w:val="00E72246"/>
    <w:rsid w:val="00E9484A"/>
    <w:rsid w:val="00E96778"/>
    <w:rsid w:val="00EF741E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paragraph" w:styleId="3">
    <w:name w:val="heading 3"/>
    <w:basedOn w:val="a"/>
    <w:link w:val="30"/>
    <w:uiPriority w:val="9"/>
    <w:qFormat/>
    <w:rsid w:val="0031134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311345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SYNNEX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涂善勇</cp:lastModifiedBy>
  <cp:revision>2</cp:revision>
  <cp:lastPrinted>2017-05-02T08:59:00Z</cp:lastPrinted>
  <dcterms:created xsi:type="dcterms:W3CDTF">2022-09-16T08:55:00Z</dcterms:created>
  <dcterms:modified xsi:type="dcterms:W3CDTF">2022-09-16T08:55:00Z</dcterms:modified>
</cp:coreProperties>
</file>